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6E3B" w14:textId="77777777" w:rsidR="000917E0" w:rsidRDefault="000917E0" w:rsidP="00C117C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uk-UA"/>
        </w:rPr>
        <w:t>ЗВІТ</w:t>
      </w:r>
    </w:p>
    <w:p w14:paraId="5EFDC039" w14:textId="77777777" w:rsidR="000917E0" w:rsidRPr="000917E0" w:rsidRDefault="000917E0" w:rsidP="00C117C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проректора з науково-педагогічної роботи</w:t>
      </w:r>
    </w:p>
    <w:p w14:paraId="47C42F09" w14:textId="77777777" w:rsidR="000917E0" w:rsidRPr="000917E0" w:rsidRDefault="000917E0" w:rsidP="00C117C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proofErr w:type="spellStart"/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Заріфа</w:t>
      </w:r>
      <w:proofErr w:type="spellEnd"/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 xml:space="preserve"> НАЗИРОВА</w:t>
      </w:r>
    </w:p>
    <w:p w14:paraId="4C4D4E6D" w14:textId="77777777" w:rsidR="00C117C5" w:rsidRDefault="000917E0" w:rsidP="00C117C5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за підсумками 2025 року</w:t>
      </w:r>
    </w:p>
    <w:p w14:paraId="76AF2EB8" w14:textId="3AA26041" w:rsidR="000917E0" w:rsidRPr="00C117C5" w:rsidRDefault="000917E0" w:rsidP="001A2056">
      <w:pPr>
        <w:pStyle w:val="a5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C117C5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У 2025 році міжнародна діяльність університету розвивалася в умовах воєнного стану та була спрямована на збереження і посилення міжнародної присутності, інтеграцію до Європейського освітнього і дослідницького простору, а також на підтримку стійкості університету як повноцінного учасника глобальної академічної спільноти.</w:t>
      </w:r>
    </w:p>
    <w:p w14:paraId="39A040A8" w14:textId="77777777" w:rsidR="000917E0" w:rsidRPr="000917E0" w:rsidRDefault="000917E0" w:rsidP="00C117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Пріоритетом залишалася інтернаціоналізація як наскрізний принцип розвитку університету. Вона реалізовувалася через розширення партнерської мережі, активну участь у програмах Європейського Союзу, збільшення мобільності здобувачів освіти та працівників, а також через залучення міжнародного фінансування та інтеграцію міжнародного досвіду в освітній процес.</w:t>
      </w:r>
    </w:p>
    <w:p w14:paraId="53DD3197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2. ОРГАНІЗАЦІЯ НАБОРУ ТА НАВЧАННЯ ІНОЗЕМНИХ ГРОМАДЯН</w:t>
      </w:r>
    </w:p>
    <w:p w14:paraId="67C44F69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Протягом 2025 року здійснювалась системна робота з організації набору та супроводу навчання іноземних здобувачів вищої освіти.</w:t>
      </w:r>
    </w:p>
    <w:p w14:paraId="71275C0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2.1. Контингент іноземних студентів</w:t>
      </w:r>
    </w:p>
    <w:p w14:paraId="0E01DC60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Загальна кількість іноземних здобувачів вищої освіти, які навчалися у 2025 році, становила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232 особи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, з них:</w:t>
      </w:r>
    </w:p>
    <w:p w14:paraId="786FF6F5" w14:textId="77777777" w:rsidR="000917E0" w:rsidRPr="000917E0" w:rsidRDefault="000917E0" w:rsidP="00C117C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денна форма – 204 особи;</w:t>
      </w:r>
    </w:p>
    <w:p w14:paraId="7A621C05" w14:textId="77777777" w:rsidR="000917E0" w:rsidRPr="000917E0" w:rsidRDefault="000917E0" w:rsidP="00C117C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заочна форма – 28 осіб.</w:t>
      </w:r>
    </w:p>
    <w:p w14:paraId="20D9F84F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Іноземні громадяни представляють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25 країн світу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, найбільше з Азербайджану, Китаю та Туреччини.</w:t>
      </w:r>
    </w:p>
    <w:p w14:paraId="6517B85A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Аспірантура: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9 іноземців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5A0843BD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2.2. Розподіл за освітніми програмами</w:t>
      </w:r>
    </w:p>
    <w:p w14:paraId="0A1B8AD9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Навчання іноземців є пріоритетним напрямом інтернаціоналізації університету відповідно до Стратегічних цілей до 2030 року:</w:t>
      </w:r>
    </w:p>
    <w:p w14:paraId="5DAA4A7F" w14:textId="77777777" w:rsidR="000917E0" w:rsidRPr="000917E0" w:rsidRDefault="000917E0" w:rsidP="00C117C5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Бакалаврські програми: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111 осіб (ННІ «УІПА» – 41, юридичний факультет – 24).</w:t>
      </w:r>
    </w:p>
    <w:p w14:paraId="68F8D5A8" w14:textId="77777777" w:rsidR="000917E0" w:rsidRPr="000917E0" w:rsidRDefault="000917E0" w:rsidP="00C117C5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lastRenderedPageBreak/>
        <w:t>Магістерські програми (немедичного спрямування):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51 особа (лідери: ННІ «Каразінська школа бізнесу» – 22, економічний факультет – 8).</w:t>
      </w:r>
    </w:p>
    <w:p w14:paraId="2D2980F9" w14:textId="77777777" w:rsidR="000917E0" w:rsidRPr="000917E0" w:rsidRDefault="000917E0" w:rsidP="00C117C5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Магістерська програма «Медицина»: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61 особа на медичному факультеті.</w:t>
      </w:r>
    </w:p>
    <w:p w14:paraId="2C459C5C" w14:textId="77777777" w:rsidR="000917E0" w:rsidRPr="000917E0" w:rsidRDefault="000917E0" w:rsidP="00C117C5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Третій рівень вищої освіти (доктор філософії):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9 осіб.</w:t>
      </w:r>
    </w:p>
    <w:p w14:paraId="058C4F57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2.3. Випуск іноземних громадян у 2025 році</w:t>
      </w:r>
    </w:p>
    <w:p w14:paraId="72CC6EE1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У 2025 році університет завершили навчання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193 іноземні випускники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, зокрема:</w:t>
      </w:r>
    </w:p>
    <w:p w14:paraId="27C6A95F" w14:textId="77777777" w:rsidR="000917E0" w:rsidRPr="000917E0" w:rsidRDefault="000917E0" w:rsidP="00C117C5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магістри (немедичні) – 107 осіб;</w:t>
      </w:r>
    </w:p>
    <w:p w14:paraId="0B5C7044" w14:textId="77777777" w:rsidR="000917E0" w:rsidRPr="000917E0" w:rsidRDefault="000917E0" w:rsidP="00C117C5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бакалаври – 36 осіб;</w:t>
      </w:r>
    </w:p>
    <w:p w14:paraId="744B9081" w14:textId="77777777" w:rsidR="000917E0" w:rsidRPr="000917E0" w:rsidRDefault="000917E0" w:rsidP="00C117C5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магістри медичного факультету – 50 осіб.</w:t>
      </w:r>
    </w:p>
    <w:p w14:paraId="11F3A0B9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2.4. Прийом на навчання іноземних громадян у 2025 році</w:t>
      </w:r>
    </w:p>
    <w:p w14:paraId="4A69966C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Вступна кампанія 2025 року для іноземців проводилась у два етапи. Загалом на 1-й рік навчання зараховано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44 іноземних вступники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(у 2024 році – 134).</w:t>
      </w:r>
    </w:p>
    <w:p w14:paraId="4FBC966F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Розподіл за рівнями освіти:</w:t>
      </w:r>
    </w:p>
    <w:p w14:paraId="10E3FB11" w14:textId="77777777" w:rsidR="000917E0" w:rsidRPr="000917E0" w:rsidRDefault="000917E0" w:rsidP="00C117C5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бакалавр – 20 осіб (2024: 14);</w:t>
      </w:r>
    </w:p>
    <w:p w14:paraId="15236D61" w14:textId="77777777" w:rsidR="000917E0" w:rsidRPr="000917E0" w:rsidRDefault="000917E0" w:rsidP="00C117C5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магістр медичного спрямування – 7 осіб (2024: 9);</w:t>
      </w:r>
    </w:p>
    <w:p w14:paraId="0B27F08B" w14:textId="77777777" w:rsidR="000917E0" w:rsidRPr="000917E0" w:rsidRDefault="000917E0" w:rsidP="00C117C5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магістр (інші спеціальності) – 7 осіб (6 – денна, 1 – заочна; 2024: 108);</w:t>
      </w:r>
    </w:p>
    <w:p w14:paraId="1643B0DB" w14:textId="77777777" w:rsidR="000917E0" w:rsidRPr="000917E0" w:rsidRDefault="000917E0" w:rsidP="00C117C5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доктор філософії – 5 осіб (2024: 1).</w:t>
      </w:r>
    </w:p>
    <w:p w14:paraId="3DE4896A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Розподіл за підрозділами:</w:t>
      </w:r>
    </w:p>
    <w:p w14:paraId="037888C5" w14:textId="77777777" w:rsidR="000917E0" w:rsidRPr="000917E0" w:rsidRDefault="000917E0" w:rsidP="00C117C5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ННІ «Українська інженерно-педагогічна академія» – 9 осіб;</w:t>
      </w:r>
    </w:p>
    <w:p w14:paraId="42239833" w14:textId="77777777" w:rsidR="000917E0" w:rsidRPr="000917E0" w:rsidRDefault="000917E0" w:rsidP="00C117C5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економічний факультет – 7 осіб;</w:t>
      </w:r>
    </w:p>
    <w:p w14:paraId="6A92C3ED" w14:textId="77777777" w:rsidR="000917E0" w:rsidRPr="000917E0" w:rsidRDefault="000917E0" w:rsidP="00C117C5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ННІ «Каразінський банківський інститут» – 7 осіб;</w:t>
      </w:r>
    </w:p>
    <w:p w14:paraId="1B734E6A" w14:textId="77777777" w:rsidR="000917E0" w:rsidRPr="000917E0" w:rsidRDefault="000917E0" w:rsidP="00C117C5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юридичний факультет – 6 осіб;</w:t>
      </w:r>
    </w:p>
    <w:p w14:paraId="319400E4" w14:textId="77777777" w:rsidR="000917E0" w:rsidRPr="000917E0" w:rsidRDefault="000917E0" w:rsidP="00C117C5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медичний факультет – 7 осіб.</w:t>
      </w:r>
    </w:p>
    <w:p w14:paraId="15F2F024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2.5. Аналіз результатів набору</w:t>
      </w:r>
    </w:p>
    <w:p w14:paraId="23F3493B" w14:textId="77777777" w:rsidR="000917E0" w:rsidRPr="000917E0" w:rsidRDefault="000917E0" w:rsidP="00C117C5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Кількісний показник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набору іноземців у 2025 році (44 особи) зазнав зменшення порівняно з попереднім роком. Це вимагає ретельного аналізу маркетингової стратегії та посилення профорієнтаційної роботи за кордоном.</w:t>
      </w:r>
    </w:p>
    <w:p w14:paraId="474D2018" w14:textId="77777777" w:rsidR="000917E0" w:rsidRPr="000917E0" w:rsidRDefault="000917E0" w:rsidP="00C117C5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Якісний показник: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Відбувається диверсифікація географії (студенти з 25 країн). Позитивним є зростання набору до аспірантури (5 осіб), що свідчить про зростання інтересу до наукової кар'єри в Україні.</w:t>
      </w:r>
    </w:p>
    <w:p w14:paraId="74D51361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2.6. Фінансові надходження від навчання іноземців</w:t>
      </w:r>
    </w:p>
    <w:p w14:paraId="2D556833" w14:textId="77777777" w:rsidR="000917E0" w:rsidRPr="000917E0" w:rsidRDefault="000917E0" w:rsidP="00C117C5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За 2025 рік надходження за навчання іноземних студентів склали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25 109 120,66 грн.</w:t>
      </w:r>
    </w:p>
    <w:p w14:paraId="408B3F06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2.7. Навчально-методичне та організаційне забезпечення</w:t>
      </w:r>
    </w:p>
    <w:p w14:paraId="38FDA27F" w14:textId="77777777" w:rsidR="000917E0" w:rsidRPr="000917E0" w:rsidRDefault="000917E0" w:rsidP="00C117C5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Навчання іноземців здійснювалося виключно за кошти фізичних та юридичних осіб.</w:t>
      </w:r>
    </w:p>
    <w:p w14:paraId="754FA964" w14:textId="77777777" w:rsidR="000917E0" w:rsidRPr="000917E0" w:rsidRDefault="000917E0" w:rsidP="00C117C5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Протягом року забезпечено безперебійний процес видачі іноземним громадянам запрошень на навчання, стажування та законне перебування в Україні.</w:t>
      </w:r>
    </w:p>
    <w:p w14:paraId="0C225792" w14:textId="77777777" w:rsidR="000917E0" w:rsidRPr="000917E0" w:rsidRDefault="000917E0" w:rsidP="00C117C5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Організовано та проконтрольовано процеси визнання іноземних документів про освіту в Україні (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нострифікація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) та верифікацію документів.</w:t>
      </w:r>
    </w:p>
    <w:p w14:paraId="1C86216E" w14:textId="77777777" w:rsidR="000917E0" w:rsidRPr="000917E0" w:rsidRDefault="000917E0" w:rsidP="00C117C5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За 2025 рік за рахунок надання платних послуг (видача запрошень, верифікація,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нострифікація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документів) додатково залучено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279 170,01 грн.</w:t>
      </w:r>
    </w:p>
    <w:p w14:paraId="60BD44F0" w14:textId="77777777" w:rsidR="000917E0" w:rsidRPr="000917E0" w:rsidRDefault="000917E0" w:rsidP="00C117C5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Здійснювався постійний контроль за особовим складом іноземних здобувачів та велося листування з питань їхнього навчання.</w:t>
      </w:r>
    </w:p>
    <w:p w14:paraId="580A8C12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3. МІЖНАРОДНА ДІЯЛЬНІСТЬ ТА ІНТЕГРАЦІЯ ДО ОСВІТНЬОГО РИНКУ</w:t>
      </w:r>
    </w:p>
    <w:p w14:paraId="27AC630F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3.1. Виконання ключових показників (KPI)</w:t>
      </w:r>
    </w:p>
    <w:p w14:paraId="1B610C18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Міжнародне партнерство</w:t>
      </w:r>
    </w:p>
    <w:p w14:paraId="7519BFCB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Станом на кінець 2025 року університет підтримує широку мережу міжнародної співпраці, яка охоплює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понад 300 партнерських організацій у 55 країнах світу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 Протягом звітного року ця мережа продовжувала розширюватися: було укладено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19 нових договорів і меморандумів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, що дозволило не лише посилити присутність університету в Європейському Союзі, але й відкрити нові напрями взаємодії з партнерами з Азії та Африки.</w:t>
      </w:r>
    </w:p>
    <w:p w14:paraId="77DFCF18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Розвиток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партнерств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мав практичний вимір: він безпосередньо сприяв розширенню можливостей для мобільності, формуванню міжнародних консорціумів і підвищенню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впізнаваності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університету на міжнародному рівні. У цьому контексті показник розширення партнерської мережі можна вважати виконаним у повному обсязі.</w:t>
      </w:r>
    </w:p>
    <w:p w14:paraId="6018D1C4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 xml:space="preserve">Академічна мобільність та </w:t>
      </w:r>
      <w:proofErr w:type="spellStart"/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Erasmus</w:t>
      </w:r>
      <w:proofErr w:type="spellEnd"/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+</w:t>
      </w:r>
    </w:p>
    <w:p w14:paraId="33342465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Університет зберіг високу динаміку участі в програмі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Erasmus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+, що залишається ключовим інструментом міжнародної співпраці. Загальна кількість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міжінституційних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угод досягла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125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, з яких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29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були укладені саме у 2025 році.</w:t>
      </w:r>
    </w:p>
    <w:p w14:paraId="7265088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Мобільність здобувачів освіти та аспірантів:</w:t>
      </w:r>
    </w:p>
    <w:p w14:paraId="290470EB" w14:textId="77777777" w:rsidR="000917E0" w:rsidRPr="000917E0" w:rsidRDefault="000917E0" w:rsidP="00C117C5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довгострокові програми охопили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92 студентів і 1 аспіранта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;</w:t>
      </w:r>
    </w:p>
    <w:p w14:paraId="2A6CAD6E" w14:textId="77777777" w:rsidR="000917E0" w:rsidRPr="000917E0" w:rsidRDefault="000917E0" w:rsidP="00C117C5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короткострокові формати (літні школи, семінари, конференції) залучили ще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62 студентів і 6 аспірантів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2646286F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Географія мобільності включала понад 15 європейських країн, що свідчить про широку інтеграцію університету в європейський освітній простір.</w:t>
      </w:r>
    </w:p>
    <w:p w14:paraId="6C89EB2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Мобільність персоналу:</w:t>
      </w:r>
    </w:p>
    <w:p w14:paraId="020E7C21" w14:textId="77777777" w:rsidR="000917E0" w:rsidRPr="000917E0" w:rsidRDefault="000917E0" w:rsidP="00C117C5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41 науково-педагогічний працівник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 скористався можливостями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Erasmus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+ для викладання або стажування;</w:t>
      </w:r>
    </w:p>
    <w:p w14:paraId="00BCAC60" w14:textId="77777777" w:rsidR="000917E0" w:rsidRPr="000917E0" w:rsidRDefault="000917E0" w:rsidP="00C117C5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ще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23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– іншими програмами мобільності;</w:t>
      </w:r>
    </w:p>
    <w:p w14:paraId="612D7CB2" w14:textId="77777777" w:rsidR="000917E0" w:rsidRPr="000917E0" w:rsidRDefault="000917E0" w:rsidP="00C117C5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загалом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понад 300 працівників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 були залучені до міжнародних заходів, конференцій та дослідницьких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активностей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2915B4BE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Загальна кількість оформлених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відряджень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перевищила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330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40C39BF7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Ці результати свідчать про виконання KPI щодо забезпечення та розвитку академічної мобільності.</w:t>
      </w:r>
    </w:p>
    <w:p w14:paraId="2B431C6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Програми подвійних дипломів</w:t>
      </w:r>
    </w:p>
    <w:p w14:paraId="48A4CAA5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У 2025 році університет продовжив розвиток програм подвійних дипломів як одного з ключових інструментів інтеграції до Європейського освітнього простору. Загалом функціонувало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14 таких програм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, при цьому частина угод була оновлена, а також укладено нові домовленості з університетами Європейського Союзу.</w:t>
      </w:r>
    </w:p>
    <w:p w14:paraId="74FEFD1F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Особливу увагу приділено сучасним напрямам підготовки, зокрема у сфері інформаційних технологій, штучного інтелекту, бізнесу та права. Розвиток цих програм сприяв підвищенню якості освіти, розширенню можливостей для студентів і підвищенню конкурентоспроможності випускників на міжнародному ринку праці.</w:t>
      </w:r>
    </w:p>
    <w:p w14:paraId="75417EA7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Таким чином, показник розвитку спільних освітніх програм також виконано.</w:t>
      </w:r>
    </w:p>
    <w:p w14:paraId="6CA4B830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 xml:space="preserve">Міжнародні грантові </w:t>
      </w:r>
      <w:proofErr w:type="spellStart"/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проєкти</w:t>
      </w:r>
      <w:proofErr w:type="spellEnd"/>
    </w:p>
    <w:p w14:paraId="063AFC75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У 2025 році університет продемонстрував стабільне зростання участі в міжнародних грантових програмах. Загалом реалізовувалося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55 проєктів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, з яких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28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 були розпочаті у звітному році. Це свідчить про активну позицію університету в міжнародному дослідницькому середовищі та здатність формувати конкурентоспроможні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проєктні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заявки.</w:t>
      </w:r>
    </w:p>
    <w:p w14:paraId="1FF3C117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Основними інструментами залишалися програми Європейського Союзу, передусім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Erasmus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+ та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Horizon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Europe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 Водночас важливим результатом стало розширення участі університету в міжнародних консорціумах і збільшення фінансових надходжень до спеціального фонду.</w:t>
      </w:r>
    </w:p>
    <w:p w14:paraId="654345C0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З огляду на зазначене, KPI щодо розвитку грантової діяльності виконано.</w:t>
      </w:r>
    </w:p>
    <w:p w14:paraId="60D7D201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Інтернаціоналізація освітнього процесу</w:t>
      </w:r>
    </w:p>
    <w:p w14:paraId="52A068D9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Протягом 2025 року університет послідовно інтегрував міжнародний компонент у навчальний процес. Було залучено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37 іноземних професорів і лекторів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, які проводили лекції, семінари та консультації для студентів.</w:t>
      </w:r>
    </w:p>
    <w:p w14:paraId="6EE329AA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Ця діяльність сприяла підвищенню якості освіти, впровадженню міжнародних підходів до викладання та розвитку міжкультурних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компетентностей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здобувачів освіти. Відповідно, показник інтернаціоналізації освітнього процесу досягнуто.</w:t>
      </w:r>
    </w:p>
    <w:p w14:paraId="1BC260FC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Прийом іноземних делегацій</w:t>
      </w:r>
    </w:p>
    <w:p w14:paraId="0B0F71B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Університет продовжив активну роботу з прийому міжнародних партнерів. Протягом року було прийнято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26 представників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із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8 країн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, включаючи дипломатичні місії, наукові делегації та представників міжнародних організацій.</w:t>
      </w:r>
    </w:p>
    <w:p w14:paraId="6A89A4CF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Такі візити сприяли зміцненню партнерських відносин, підвищенню довіри до університету та розвитку нових напрямів співпраці. KPI у цій частині виконано.</w:t>
      </w:r>
    </w:p>
    <w:p w14:paraId="76742500" w14:textId="77777777" w:rsidR="00863156" w:rsidRDefault="00863156" w:rsidP="00C117C5">
      <w:pPr>
        <w:shd w:val="clear" w:color="auto" w:fill="FFFFFF"/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</w:p>
    <w:p w14:paraId="3D848FA9" w14:textId="12D7A8D1" w:rsidR="000917E0" w:rsidRPr="000917E0" w:rsidRDefault="000917E0" w:rsidP="00C117C5">
      <w:pPr>
        <w:shd w:val="clear" w:color="auto" w:fill="FFFFFF"/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Участь у міжнародних наукових заходах</w:t>
      </w:r>
    </w:p>
    <w:p w14:paraId="218826E8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Університет забезпечив системну участь своїх представників у міжнародних наукових заходах, включаючи конференції, форуми та дослідницькі ініціативи. Це дозволило посилити міжнародну наукову присутність, розширити професійні контакти та підвищити видимість результатів досліджень.</w:t>
      </w:r>
    </w:p>
    <w:p w14:paraId="7F4943F5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Відповідно, показник інтеграції до міжнародного наукового простору також виконано.</w:t>
      </w:r>
    </w:p>
    <w:p w14:paraId="38C0F841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3.2. Кількісні результати міжнародної діяльності</w:t>
      </w:r>
    </w:p>
    <w:p w14:paraId="5E009EF7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У 2025 році міжнародна діяльність університету характеризується такими ключовими показниками:</w:t>
      </w:r>
    </w:p>
    <w:p w14:paraId="58DF6343" w14:textId="77777777" w:rsidR="000917E0" w:rsidRPr="000917E0" w:rsidRDefault="000917E0" w:rsidP="00C117C5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понад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300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міжнародних партнерів у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55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країнах світу;</w:t>
      </w:r>
    </w:p>
    <w:p w14:paraId="0CEFF302" w14:textId="77777777" w:rsidR="000917E0" w:rsidRPr="000917E0" w:rsidRDefault="000917E0" w:rsidP="00C117C5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125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 угод у межах програми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Erasmus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+;</w:t>
      </w:r>
    </w:p>
    <w:p w14:paraId="6C4A5C41" w14:textId="77777777" w:rsidR="000917E0" w:rsidRPr="000917E0" w:rsidRDefault="000917E0" w:rsidP="00C117C5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55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міжнародних та національних проєктів, з яких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28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нових;</w:t>
      </w:r>
    </w:p>
    <w:p w14:paraId="7BC22338" w14:textId="77777777" w:rsidR="000917E0" w:rsidRPr="000917E0" w:rsidRDefault="000917E0" w:rsidP="00C117C5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понад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300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учасників міжнародної мобільності серед працівників;</w:t>
      </w:r>
    </w:p>
    <w:p w14:paraId="61CE140D" w14:textId="77777777" w:rsidR="000917E0" w:rsidRPr="000917E0" w:rsidRDefault="000917E0" w:rsidP="00C117C5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понад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160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учасників серед студентів і аспірантів.</w:t>
      </w:r>
    </w:p>
    <w:p w14:paraId="39E4288A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У сукупності ці показники підтверджують стабільність та розвиток міжнародної діяльності університету.</w:t>
      </w:r>
    </w:p>
    <w:p w14:paraId="00F40C9B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4. ДІЯЛЬНІСТЬ ІНСТИТУТУ КОНФУЦІЯ</w:t>
      </w:r>
    </w:p>
    <w:p w14:paraId="2D943AF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Здійснювалася координація роботи Інституту Конфуція, який є важливим осередком міжкультурної комунікації. Вся діяльність Інституту здійснюється у тісній координації з китайськими партнерами, представниками Аньхойського університету.</w:t>
      </w:r>
    </w:p>
    <w:p w14:paraId="2AA64F4D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4.1. Основні показники роботи Інституту Конфуція у 2025 році</w:t>
      </w:r>
    </w:p>
    <w:p w14:paraId="493D05D7" w14:textId="77777777" w:rsidR="000917E0" w:rsidRPr="000917E0" w:rsidRDefault="000917E0" w:rsidP="00C117C5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Курси китайської мови: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28 груп (22 дорослі, 6 дитячих),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329 слухачів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4515E887" w14:textId="77777777" w:rsidR="000917E0" w:rsidRPr="000917E0" w:rsidRDefault="000917E0" w:rsidP="00C117C5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Викладачі-носії китайської мови: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14 осіб.</w:t>
      </w:r>
    </w:p>
    <w:p w14:paraId="748655E9" w14:textId="77777777" w:rsidR="000917E0" w:rsidRPr="000917E0" w:rsidRDefault="000917E0" w:rsidP="00C117C5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Розмовні клуби: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25 занять, близько 300 учасників.</w:t>
      </w:r>
    </w:p>
    <w:p w14:paraId="609AC7CD" w14:textId="77777777" w:rsidR="000917E0" w:rsidRPr="000917E0" w:rsidRDefault="000917E0" w:rsidP="00C117C5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Екзамени HSK/HSKK: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2 іспити,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178 учасників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(+59 порівняно з 2024 р.).</w:t>
      </w:r>
    </w:p>
    <w:p w14:paraId="2CEFDC90" w14:textId="77777777" w:rsidR="000917E0" w:rsidRPr="000917E0" w:rsidRDefault="000917E0" w:rsidP="00C117C5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Стипендіальна програма CIS: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18 заявок, 3 успішні відбори.</w:t>
      </w:r>
    </w:p>
    <w:p w14:paraId="08ED5908" w14:textId="77777777" w:rsidR="000917E0" w:rsidRPr="000917E0" w:rsidRDefault="000917E0" w:rsidP="00C117C5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Культурні заходи: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14 подій,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понад 560 учасників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147D3DC8" w14:textId="77777777" w:rsidR="000917E0" w:rsidRPr="000917E0" w:rsidRDefault="000917E0" w:rsidP="00C117C5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Соціальні мережі: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 зростання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Instagram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майже на 1000 підписників (загалом 5610), понад 200 публікацій.</w:t>
      </w:r>
    </w:p>
    <w:p w14:paraId="23B7EC23" w14:textId="77777777" w:rsidR="000917E0" w:rsidRPr="000917E0" w:rsidRDefault="000917E0" w:rsidP="00C117C5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Фінансові надходження: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за 2025 рік Інститутом Конфуція було надано платних послуг на суму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2 534 300 грн.</w:t>
      </w:r>
    </w:p>
    <w:p w14:paraId="61EAC352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4.2. Освітня діяльність</w:t>
      </w:r>
    </w:p>
    <w:p w14:paraId="0653FB02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Курси китайської проводилися за такими напрямами:</w:t>
      </w:r>
    </w:p>
    <w:p w14:paraId="5ED12383" w14:textId="77777777" w:rsidR="000917E0" w:rsidRPr="000917E0" w:rsidRDefault="000917E0" w:rsidP="00C117C5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курси для дорослих (6 рівнів);</w:t>
      </w:r>
    </w:p>
    <w:p w14:paraId="184C43BD" w14:textId="77777777" w:rsidR="000917E0" w:rsidRPr="000917E0" w:rsidRDefault="000917E0" w:rsidP="00C117C5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курси для дітей (5 рівнів);</w:t>
      </w:r>
    </w:p>
    <w:p w14:paraId="40CF79C2" w14:textId="77777777" w:rsidR="000917E0" w:rsidRPr="000917E0" w:rsidRDefault="000917E0" w:rsidP="00C117C5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ділова китайська мова;</w:t>
      </w:r>
    </w:p>
    <w:p w14:paraId="727EE7FB" w14:textId="77777777" w:rsidR="000917E0" w:rsidRPr="000917E0" w:rsidRDefault="000917E0" w:rsidP="00C117C5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курси з розвитку усного мовлення;</w:t>
      </w:r>
    </w:p>
    <w:p w14:paraId="09968697" w14:textId="77777777" w:rsidR="000917E0" w:rsidRPr="000917E0" w:rsidRDefault="000917E0" w:rsidP="00C117C5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курси з розвитку навичок писемності.</w:t>
      </w:r>
    </w:p>
    <w:p w14:paraId="6EB612D0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Викладацьку діяльність Інституту забезпечують викладачі з КНР, які викладають китайську мову у дорослих групах, та викладачі з української сторони, які забезпечують навчальний процес в дитячих групах.</w:t>
      </w:r>
    </w:p>
    <w:p w14:paraId="59FCAC19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Окремим напрямком навчальної діяльності є проведення суботніх розмовних клубів для дітей та дорослих. За рік було проведено 25 занять, які відвідали близько 300 учасників.</w:t>
      </w:r>
    </w:p>
    <w:p w14:paraId="4D6322B5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4.3. Екзаменаційна діяльність</w:t>
      </w:r>
    </w:p>
    <w:p w14:paraId="6F375B9C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Інститут Конфуція є організатором проведення стандартизованого кваліфікаційного іспиту з китайської мови HSK та HSKK. Протягом 2025 року було організовано та успішно проведено 2 іспити:</w:t>
      </w:r>
    </w:p>
    <w:p w14:paraId="39C2520E" w14:textId="77777777" w:rsidR="000917E0" w:rsidRPr="000917E0" w:rsidRDefault="000917E0" w:rsidP="00C117C5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29 березня 2025 року – 59 осіб;</w:t>
      </w:r>
    </w:p>
    <w:p w14:paraId="6ED2A997" w14:textId="77777777" w:rsidR="000917E0" w:rsidRPr="000917E0" w:rsidRDefault="000917E0" w:rsidP="00C117C5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23 листопада 2025 року – 119 осіб.</w:t>
      </w:r>
    </w:p>
    <w:p w14:paraId="22C1032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4.4. Стипендіальні програми та культурні заходи</w:t>
      </w:r>
    </w:p>
    <w:p w14:paraId="61A2242A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У 2025 році, за підтримки Аньхойського університету, було реалізовано стипендіальну програму Інституту Конфуція (CIS). Інститутом отримано 18 заявок, позитивну відповідь отримали троє слухачів.</w:t>
      </w:r>
    </w:p>
    <w:p w14:paraId="24523FEB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Інститут організував 14 культурних заходів (конкурси, лекції, майстер-класи, вікторини), в яких взяли участь понад 560 осіб. За підтримки китайських партнерів на заходи було запрошено лекторів з китайських університетів.</w:t>
      </w:r>
    </w:p>
    <w:p w14:paraId="026AD9FD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4.5. Комунікаційна діяльність</w:t>
      </w:r>
    </w:p>
    <w:p w14:paraId="58397A8D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Інститут Конфуція активно розвиває офіційні сторінки в соціальних мережах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Instagram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,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Facebook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, Telegram,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YouTube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та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TikTok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. За 2025 рік кількість підписників сторінки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Instagram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зросла майже на 1000 і станом на 05.12.2025 складає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5610 осіб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 Було опубліковано понад 200 дописів.</w:t>
      </w:r>
    </w:p>
    <w:p w14:paraId="301F638B" w14:textId="5EE71F31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 xml:space="preserve">5. РОБОТА З МІЖНАРОДНИМИ РЕЙТИНГАМИ </w:t>
      </w:r>
    </w:p>
    <w:p w14:paraId="3F3AA0B1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Упродовж звітного періоду відділ глобального розвитку проводив системну роботу з аналізу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методологій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міжнародних академічних рейтингів та забезпечував регулярну комунікацію з рейтинговими агентствами.</w:t>
      </w:r>
    </w:p>
    <w:p w14:paraId="47336DEF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5.1. Участь у заходах рейтингових агенцій</w:t>
      </w:r>
    </w:p>
    <w:p w14:paraId="1B0D362E" w14:textId="77777777" w:rsidR="000917E0" w:rsidRPr="000917E0" w:rsidRDefault="000917E0" w:rsidP="00C117C5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Відбулися онлайн-зустрічі з представниками QS та THE.</w:t>
      </w:r>
    </w:p>
    <w:p w14:paraId="64E439B5" w14:textId="77777777" w:rsidR="000917E0" w:rsidRPr="000917E0" w:rsidRDefault="000917E0" w:rsidP="00C117C5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Співробітники відділу взяли участь у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70 онлайн-заходах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 (воркшопах і майстер-класах), організованих провідними рейтинговими агенціями – QS, THE, ARWU, U.S.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News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&amp;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World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Report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та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Clarivate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2286BB08" w14:textId="77777777" w:rsidR="000917E0" w:rsidRPr="000917E0" w:rsidRDefault="000917E0" w:rsidP="00C117C5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15 березня 2025 року представники університету взяли участь у форумі </w:t>
      </w:r>
      <w:proofErr w:type="spellStart"/>
      <w:r w:rsidRPr="000917E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uk-UA"/>
        </w:rPr>
        <w:t>Kharkiv</w:t>
      </w:r>
      <w:proofErr w:type="spellEnd"/>
      <w:r w:rsidRPr="000917E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uk-UA"/>
        </w:rPr>
        <w:t>Insight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25C1F96D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5.2. Робота з рейтингами та даними</w:t>
      </w:r>
    </w:p>
    <w:p w14:paraId="1D8A8412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Протягом року здійснювався збір та подання даних для участі університету в рейтингах:</w:t>
      </w:r>
    </w:p>
    <w:p w14:paraId="65F9663A" w14:textId="77777777" w:rsidR="000917E0" w:rsidRPr="000917E0" w:rsidRDefault="000917E0" w:rsidP="00C117C5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QS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World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University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;</w:t>
      </w:r>
    </w:p>
    <w:p w14:paraId="2BD3A80C" w14:textId="77777777" w:rsidR="000917E0" w:rsidRPr="000917E0" w:rsidRDefault="000917E0" w:rsidP="00C117C5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QS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World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University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: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Europe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;</w:t>
      </w:r>
    </w:p>
    <w:p w14:paraId="71E29A31" w14:textId="77777777" w:rsidR="000917E0" w:rsidRPr="000917E0" w:rsidRDefault="000917E0" w:rsidP="00C117C5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QS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Sustainability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;</w:t>
      </w:r>
    </w:p>
    <w:p w14:paraId="1D422EBB" w14:textId="77777777" w:rsidR="000917E0" w:rsidRPr="000917E0" w:rsidRDefault="000917E0" w:rsidP="00C117C5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THE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World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University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;</w:t>
      </w:r>
    </w:p>
    <w:p w14:paraId="0F078930" w14:textId="77777777" w:rsidR="000917E0" w:rsidRPr="000917E0" w:rsidRDefault="000917E0" w:rsidP="00C117C5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THE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Impact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;</w:t>
      </w:r>
    </w:p>
    <w:p w14:paraId="2F26B454" w14:textId="77777777" w:rsidR="000917E0" w:rsidRPr="000917E0" w:rsidRDefault="000917E0" w:rsidP="00C117C5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анкетних опитуваннях компанії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Clarivate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7AE0D5B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Відділ забезпечив верифікацію інформації університету в анкетах THE WUR, THE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Impact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, THE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Interdisciplinary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Science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, а також у рейтингах QS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World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University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, QS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Europe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та QS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Sustainability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1E733668" w14:textId="60BC715A" w:rsid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Триває налагодження контактів із представниками китайського рейтингу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ARWU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з метою розширення участі університету в глобальних академічних оцінюваннях.</w:t>
      </w:r>
    </w:p>
    <w:p w14:paraId="38556961" w14:textId="3FB8865B" w:rsidR="00863156" w:rsidRDefault="00863156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</w:p>
    <w:p w14:paraId="25071BEA" w14:textId="77777777" w:rsidR="00863156" w:rsidRPr="000917E0" w:rsidRDefault="00863156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</w:p>
    <w:p w14:paraId="44FAE95B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5.3. Стала освіта та розвиток</w:t>
      </w:r>
    </w:p>
    <w:p w14:paraId="68D71D06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Підготовлено повний пакет звітів щодо виконання університетом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17 цілей сталого розвитку ООН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, включно з узагальненим звітом. Проведено консультативні зустрічі з факультетами, спрямовані на посилення діяльності університету у сфері сталого розвитку.</w:t>
      </w:r>
    </w:p>
    <w:p w14:paraId="1F816EA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5.4. Комунікації та опрацювання експертної бази</w:t>
      </w:r>
    </w:p>
    <w:p w14:paraId="437E1591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Продовжувалася робота зі збільшення бази експертів і роботодавців для участі в опитуваннях рейтингового агентства QS:</w:t>
      </w:r>
    </w:p>
    <w:p w14:paraId="570E37E9" w14:textId="77777777" w:rsidR="000917E0" w:rsidRPr="000917E0" w:rsidRDefault="000917E0" w:rsidP="00C117C5">
      <w:pPr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станом на грудень 2023 року база налічувала близько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40 тис.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контактів;</w:t>
      </w:r>
    </w:p>
    <w:p w14:paraId="5783D67C" w14:textId="77777777" w:rsidR="000917E0" w:rsidRPr="000917E0" w:rsidRDefault="000917E0" w:rsidP="00C117C5">
      <w:pPr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станом на грудень 2024 року –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приблизно 45 тис.</w:t>
      </w:r>
    </w:p>
    <w:p w14:paraId="77C8420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Протягом року здійснено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8 інформаційних розсилок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 міжнародним та українським експертам і роботодавцям. Постійно підтримувалася комунікація з факультетами та підрозділами з метою покращення рейтингових показників університету.</w:t>
      </w:r>
    </w:p>
    <w:p w14:paraId="58996DAA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6. РЕЙТИНГОВІ ПОКАЗНИКИ УНІВЕРСИТЕТУ У 2025 РОЦІ</w:t>
      </w:r>
    </w:p>
    <w:p w14:paraId="11110746" w14:textId="77777777" w:rsidR="000917E0" w:rsidRPr="00863156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6.1. QS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</w:p>
    <w:p w14:paraId="5550CD36" w14:textId="77777777" w:rsidR="000917E0" w:rsidRPr="00863156" w:rsidRDefault="000917E0" w:rsidP="00C117C5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QS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World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University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2026: позиція 781–790 у світі; 2-ге місце серед українських ЗВО.</w:t>
      </w:r>
    </w:p>
    <w:p w14:paraId="17DD8715" w14:textId="77777777" w:rsidR="000917E0" w:rsidRPr="00863156" w:rsidRDefault="000917E0" w:rsidP="00C117C5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QS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World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University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: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Europe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2025: 319 місце.</w:t>
      </w:r>
    </w:p>
    <w:p w14:paraId="2893EAC6" w14:textId="77777777" w:rsidR="000917E0" w:rsidRPr="00863156" w:rsidRDefault="000917E0" w:rsidP="00C117C5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QS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World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University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by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Subject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(2024):</w:t>
      </w:r>
    </w:p>
    <w:p w14:paraId="4DA285F8" w14:textId="77777777" w:rsidR="000917E0" w:rsidRPr="00863156" w:rsidRDefault="000917E0" w:rsidP="00C117C5">
      <w:pPr>
        <w:numPr>
          <w:ilvl w:val="1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Комп'ютерні науки та інформаційні системи – 701–750;</w:t>
      </w:r>
    </w:p>
    <w:p w14:paraId="6EFA6557" w14:textId="77777777" w:rsidR="000917E0" w:rsidRPr="00863156" w:rsidRDefault="000917E0" w:rsidP="00C117C5">
      <w:pPr>
        <w:numPr>
          <w:ilvl w:val="1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Фізика й астрономія – 501–550;</w:t>
      </w:r>
    </w:p>
    <w:p w14:paraId="170EAA2D" w14:textId="77777777" w:rsidR="000917E0" w:rsidRPr="00863156" w:rsidRDefault="000917E0" w:rsidP="00C117C5">
      <w:pPr>
        <w:numPr>
          <w:ilvl w:val="1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Економіка – 551–700.</w:t>
      </w:r>
    </w:p>
    <w:p w14:paraId="28A345A8" w14:textId="77777777" w:rsidR="000917E0" w:rsidRPr="00863156" w:rsidRDefault="000917E0" w:rsidP="00C117C5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QS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Sustainability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2026: 980 місце у глобальному масштабі.</w:t>
      </w:r>
    </w:p>
    <w:p w14:paraId="1AB4188C" w14:textId="77777777" w:rsidR="000917E0" w:rsidRPr="00863156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6.2. THE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</w:p>
    <w:p w14:paraId="0A1E7686" w14:textId="77777777" w:rsidR="000917E0" w:rsidRPr="00863156" w:rsidRDefault="000917E0" w:rsidP="00C117C5">
      <w:pPr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THE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World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University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2026: 1501+.</w:t>
      </w:r>
    </w:p>
    <w:p w14:paraId="4DB5A6FB" w14:textId="77777777" w:rsidR="000917E0" w:rsidRPr="00863156" w:rsidRDefault="000917E0" w:rsidP="00C117C5">
      <w:pPr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THE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Impact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2025: 1501+.</w:t>
      </w:r>
    </w:p>
    <w:p w14:paraId="4CD3BCC8" w14:textId="77777777" w:rsidR="000917E0" w:rsidRPr="00863156" w:rsidRDefault="000917E0" w:rsidP="00C117C5">
      <w:pPr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THE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Interdisciplinary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Science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2026: 801+.</w:t>
      </w:r>
    </w:p>
    <w:p w14:paraId="71FE171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6.3. Інші міжнародні рейтинги</w:t>
      </w:r>
    </w:p>
    <w:p w14:paraId="3BC82C9D" w14:textId="77777777" w:rsidR="000917E0" w:rsidRPr="00863156" w:rsidRDefault="000917E0" w:rsidP="00C117C5">
      <w:pPr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Scopus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(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SciVerse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Scopus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2025): 2-ге місце серед українських ЗВО за індексом Гірша.</w:t>
      </w:r>
    </w:p>
    <w:p w14:paraId="09644E7E" w14:textId="77777777" w:rsidR="000917E0" w:rsidRPr="00863156" w:rsidRDefault="000917E0" w:rsidP="00C117C5">
      <w:pPr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U.S.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News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&amp;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World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Report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Best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Global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Universities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2025–2026: університет – один із двох українських ЗВО, що увійшли до глобального рейтингу;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Global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Score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: 20.0, позиція 2087.</w:t>
      </w:r>
    </w:p>
    <w:p w14:paraId="6823E7E0" w14:textId="77777777" w:rsidR="000917E0" w:rsidRPr="00863156" w:rsidRDefault="000917E0" w:rsidP="00C117C5">
      <w:pPr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Webometrics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(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Web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of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Universities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): 1957 місце.</w:t>
      </w:r>
    </w:p>
    <w:p w14:paraId="44836DBE" w14:textId="77777777" w:rsidR="000917E0" w:rsidRPr="00863156" w:rsidRDefault="000917E0" w:rsidP="00C117C5">
      <w:pPr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Scimago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Institutions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(SIR): 8317 місце.</w:t>
      </w:r>
    </w:p>
    <w:p w14:paraId="0115E50C" w14:textId="77777777" w:rsidR="000917E0" w:rsidRPr="00863156" w:rsidRDefault="000917E0" w:rsidP="00C117C5">
      <w:pPr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HErankings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: 46 місце.</w:t>
      </w:r>
    </w:p>
    <w:p w14:paraId="4000BABA" w14:textId="77777777" w:rsidR="000917E0" w:rsidRPr="00863156" w:rsidRDefault="000917E0" w:rsidP="00C117C5">
      <w:pPr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Ukrainian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National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H-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index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Ranking</w:t>
      </w:r>
      <w:proofErr w:type="spellEnd"/>
      <w:r w:rsidRPr="008631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: 9 місце.</w:t>
      </w:r>
    </w:p>
    <w:p w14:paraId="77084257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7. ВИКОНАННЯ ІНШИХ ЗАВДАНЬ ТА КОНТРОЛЬ ЗА ПІДРОЗДІЛАМИ</w:t>
      </w:r>
    </w:p>
    <w:p w14:paraId="12E607EF" w14:textId="77777777" w:rsidR="000917E0" w:rsidRPr="000917E0" w:rsidRDefault="000917E0" w:rsidP="00C117C5">
      <w:pPr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Відповідно до плану, здійснювався постійний контроль за роботою підпорядкованих підрозділів, включаючи 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відділ глобального розвитку, ННІ міжнародної освіти, Управління міжнародних зв'язків та Інститут Конфуція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.</w:t>
      </w:r>
    </w:p>
    <w:p w14:paraId="1DCB06E9" w14:textId="77777777" w:rsidR="000917E0" w:rsidRPr="000917E0" w:rsidRDefault="000917E0" w:rsidP="00C117C5">
      <w:pPr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Координувалася робота з підготовки звітів щодо виконання університетом 17 цілей сталого розвитку ООН.</w:t>
      </w:r>
    </w:p>
    <w:p w14:paraId="10D4DD22" w14:textId="77777777" w:rsidR="000917E0" w:rsidRPr="000917E0" w:rsidRDefault="000917E0" w:rsidP="00C117C5">
      <w:pPr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Проводилися консультативні зустрічі з факультетами та підрозділами щодо покращення показників міжнародної діяльності.</w:t>
      </w:r>
    </w:p>
    <w:p w14:paraId="51341593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8. ВИКЛИКИ</w:t>
      </w:r>
    </w:p>
    <w:p w14:paraId="562C9965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Разом із досягненнями зберігається низка об'єктивних викликів, пов'язаних із:</w:t>
      </w:r>
    </w:p>
    <w:p w14:paraId="08058E3D" w14:textId="77777777" w:rsidR="000917E0" w:rsidRPr="000917E0" w:rsidRDefault="000917E0" w:rsidP="00C117C5">
      <w:pPr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безпековою ситуацією;</w:t>
      </w:r>
    </w:p>
    <w:p w14:paraId="582E65C4" w14:textId="77777777" w:rsidR="000917E0" w:rsidRPr="000917E0" w:rsidRDefault="000917E0" w:rsidP="00C117C5">
      <w:pPr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обмеженням фізичної мобільності окремих категорій здобувачів;</w:t>
      </w:r>
    </w:p>
    <w:p w14:paraId="07030578" w14:textId="77777777" w:rsidR="000917E0" w:rsidRPr="000917E0" w:rsidRDefault="000917E0" w:rsidP="00C117C5">
      <w:pPr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високою конкуренцією за міжнародні ресурси.</w:t>
      </w:r>
    </w:p>
    <w:p w14:paraId="19F58A56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Ці фактори вимагають подальшого розвитку інституційної підтримки міжнародної діяльності.</w:t>
      </w:r>
    </w:p>
    <w:p w14:paraId="7BC8D27D" w14:textId="3E8A5365" w:rsidR="000917E0" w:rsidRPr="000917E0" w:rsidRDefault="000917E0" w:rsidP="00C117C5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 xml:space="preserve">9. </w:t>
      </w:r>
      <w:r w:rsidR="00863156"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ВИСНОВКИ</w:t>
      </w:r>
      <w:r w:rsidR="00863156"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 xml:space="preserve"> </w:t>
      </w:r>
      <w:r w:rsidR="0086315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 xml:space="preserve">та </w:t>
      </w:r>
      <w:r w:rsidRPr="000917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uk-UA"/>
        </w:rPr>
        <w:t>ПРІОРИТЕТНІ ЗАВДАННЯ НА 2026 РІК</w:t>
      </w:r>
    </w:p>
    <w:p w14:paraId="62401007" w14:textId="77777777" w:rsidR="000917E0" w:rsidRPr="000917E0" w:rsidRDefault="000917E0" w:rsidP="00C117C5">
      <w:pPr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Провести глибокий аналіз причин зменшення набору іноземних студентів та розробити оновлену маркетингову стратегію для його збільшення, зокрема через створення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рекрутингової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платформи.</w:t>
      </w:r>
    </w:p>
    <w:p w14:paraId="4EB3B7E1" w14:textId="77777777" w:rsidR="000917E0" w:rsidRPr="000917E0" w:rsidRDefault="000917E0" w:rsidP="00C117C5">
      <w:pPr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Продовжити системну роботу з покращення показників у міжнародних рейтингах (QS, THE).</w:t>
      </w:r>
    </w:p>
    <w:p w14:paraId="5FA21CAF" w14:textId="77777777" w:rsidR="000917E0" w:rsidRPr="000917E0" w:rsidRDefault="000917E0" w:rsidP="00C117C5">
      <w:pPr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Посилити роботу зі збільшення кількості англомовних програм та програм подвійних дипломів.</w:t>
      </w:r>
    </w:p>
    <w:p w14:paraId="69335FA1" w14:textId="77777777" w:rsidR="000917E0" w:rsidRPr="000917E0" w:rsidRDefault="000917E0" w:rsidP="00C117C5">
      <w:pPr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Зосередити зусилля на подальшому розширенні участі у програмі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Horizon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Europe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, розвитку стратегічних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партнерств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з університетами ЄС, збільшенні кількості міжнародних проєктів та масштабуванні академічної мобільності.</w:t>
      </w:r>
    </w:p>
    <w:p w14:paraId="72E89F91" w14:textId="77777777" w:rsidR="000917E0" w:rsidRPr="000917E0" w:rsidRDefault="000917E0" w:rsidP="00C117C5">
      <w:pPr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Окрему увагу приділити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цифровізації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міжнародної співпраці та розвитку нових форматів взаємодії.</w:t>
      </w:r>
    </w:p>
    <w:p w14:paraId="613E7615" w14:textId="77777777" w:rsidR="000917E0" w:rsidRPr="000917E0" w:rsidRDefault="000917E0" w:rsidP="00C117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61B5AC6" w14:textId="77777777" w:rsidR="000917E0" w:rsidRPr="000917E0" w:rsidRDefault="000917E0" w:rsidP="0086315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У 2025 році виконано основний обсяг завдань, передбачених планом роботи. Усі ключові показники ефективності у сфері міжнародної діяльності виконано.</w:t>
      </w:r>
    </w:p>
    <w:p w14:paraId="72764DCB" w14:textId="77777777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Забезпечено функціонування системи набору іноземних громадян. Загальний контингент іноземних студентів складає 232 особи з 25 країн. Незважаючи на зменшення кількості нових вступників (44 особи), спостерігається позитивна динаміка набору до аспірантури (5 осіб) та диверсифікація географії. Фінансові надходження за навчання іноземців склали понад 25 млн грн.</w:t>
      </w:r>
    </w:p>
    <w:p w14:paraId="15AB6368" w14:textId="56EF50C0" w:rsidR="000917E0" w:rsidRPr="000917E0" w:rsidRDefault="000917E0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Підтримано позиції університету в міжнародних рейтингах, зокрема 2-ге місце у QS серед ЗВО України. Посилено участь у європейських програмах (125 угод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Erasmus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+, 55 міжнародних проєктів) та активізовано міжнародну </w:t>
      </w:r>
      <w:proofErr w:type="spellStart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проєктну</w:t>
      </w:r>
      <w:proofErr w:type="spellEnd"/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діяльність.</w:t>
      </w:r>
      <w:r w:rsidR="001A205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Міжнародна співпраця стала одним із ключових інструментів забезпечення стійкості університету в умовах зовнішніх викликів.</w:t>
      </w:r>
    </w:p>
    <w:p w14:paraId="6B11560F" w14:textId="77777777" w:rsidR="000C1836" w:rsidRDefault="000C1836" w:rsidP="00C117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</w:p>
    <w:p w14:paraId="131F7005" w14:textId="77777777" w:rsidR="000C1836" w:rsidRDefault="000917E0" w:rsidP="00C117C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Проректор</w:t>
      </w:r>
    </w:p>
    <w:p w14:paraId="381918F4" w14:textId="77777777" w:rsidR="000917E0" w:rsidRPr="000917E0" w:rsidRDefault="000917E0" w:rsidP="00C117C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</w:pP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з науково-педагогічної роботи</w:t>
      </w:r>
      <w:r w:rsidR="000C1836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 xml:space="preserve">             </w:t>
      </w:r>
      <w:r w:rsidRPr="000917E0">
        <w:rPr>
          <w:rFonts w:ascii="Times New Roman" w:eastAsia="Times New Roman" w:hAnsi="Times New Roman" w:cs="Times New Roman"/>
          <w:color w:val="0F1115"/>
          <w:sz w:val="28"/>
          <w:szCs w:val="28"/>
          <w:lang w:eastAsia="uk-UA"/>
        </w:rPr>
        <w:t>__________               Заріф НАЗИРОВ</w:t>
      </w:r>
    </w:p>
    <w:p w14:paraId="35DF17C4" w14:textId="77777777" w:rsidR="007935B3" w:rsidRPr="000917E0" w:rsidRDefault="007935B3" w:rsidP="00C117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935B3" w:rsidRPr="000917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9C9"/>
    <w:multiLevelType w:val="multilevel"/>
    <w:tmpl w:val="D786A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B163AA"/>
    <w:multiLevelType w:val="multilevel"/>
    <w:tmpl w:val="75B62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F5753"/>
    <w:multiLevelType w:val="hybridMultilevel"/>
    <w:tmpl w:val="A91C363A"/>
    <w:lvl w:ilvl="0" w:tplc="49EAF2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D6D2C"/>
    <w:multiLevelType w:val="multilevel"/>
    <w:tmpl w:val="EDB0F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F96A96"/>
    <w:multiLevelType w:val="multilevel"/>
    <w:tmpl w:val="762A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3E3742"/>
    <w:multiLevelType w:val="multilevel"/>
    <w:tmpl w:val="6142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F91464"/>
    <w:multiLevelType w:val="multilevel"/>
    <w:tmpl w:val="079C3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7A6AE5"/>
    <w:multiLevelType w:val="multilevel"/>
    <w:tmpl w:val="5222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775768"/>
    <w:multiLevelType w:val="hybridMultilevel"/>
    <w:tmpl w:val="C1F426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936DC"/>
    <w:multiLevelType w:val="multilevel"/>
    <w:tmpl w:val="C14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E73107"/>
    <w:multiLevelType w:val="multilevel"/>
    <w:tmpl w:val="3AD0B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D072D5"/>
    <w:multiLevelType w:val="multilevel"/>
    <w:tmpl w:val="591C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CA7496"/>
    <w:multiLevelType w:val="multilevel"/>
    <w:tmpl w:val="CD76B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013D15"/>
    <w:multiLevelType w:val="multilevel"/>
    <w:tmpl w:val="264C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DE6734"/>
    <w:multiLevelType w:val="multilevel"/>
    <w:tmpl w:val="E016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FD08D8"/>
    <w:multiLevelType w:val="multilevel"/>
    <w:tmpl w:val="E1DA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9820FD"/>
    <w:multiLevelType w:val="multilevel"/>
    <w:tmpl w:val="8CE83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96363A"/>
    <w:multiLevelType w:val="multilevel"/>
    <w:tmpl w:val="F716B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5F32D5"/>
    <w:multiLevelType w:val="multilevel"/>
    <w:tmpl w:val="A4667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247966"/>
    <w:multiLevelType w:val="multilevel"/>
    <w:tmpl w:val="1A86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BD3AFF"/>
    <w:multiLevelType w:val="multilevel"/>
    <w:tmpl w:val="EF8AF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E46535"/>
    <w:multiLevelType w:val="multilevel"/>
    <w:tmpl w:val="CB94A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EF4087"/>
    <w:multiLevelType w:val="hybridMultilevel"/>
    <w:tmpl w:val="93ACBF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C40901"/>
    <w:multiLevelType w:val="multilevel"/>
    <w:tmpl w:val="16A4D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145C6B"/>
    <w:multiLevelType w:val="multilevel"/>
    <w:tmpl w:val="630C3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8D1486"/>
    <w:multiLevelType w:val="multilevel"/>
    <w:tmpl w:val="14B2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0"/>
  </w:num>
  <w:num w:numId="6">
    <w:abstractNumId w:val="12"/>
  </w:num>
  <w:num w:numId="7">
    <w:abstractNumId w:val="13"/>
  </w:num>
  <w:num w:numId="8">
    <w:abstractNumId w:val="11"/>
  </w:num>
  <w:num w:numId="9">
    <w:abstractNumId w:val="7"/>
  </w:num>
  <w:num w:numId="10">
    <w:abstractNumId w:val="18"/>
  </w:num>
  <w:num w:numId="11">
    <w:abstractNumId w:val="14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15"/>
  </w:num>
  <w:num w:numId="17">
    <w:abstractNumId w:val="23"/>
  </w:num>
  <w:num w:numId="18">
    <w:abstractNumId w:val="10"/>
  </w:num>
  <w:num w:numId="19">
    <w:abstractNumId w:val="6"/>
  </w:num>
  <w:num w:numId="20">
    <w:abstractNumId w:val="25"/>
  </w:num>
  <w:num w:numId="21">
    <w:abstractNumId w:val="17"/>
  </w:num>
  <w:num w:numId="22">
    <w:abstractNumId w:val="16"/>
  </w:num>
  <w:num w:numId="23">
    <w:abstractNumId w:val="24"/>
  </w:num>
  <w:num w:numId="24">
    <w:abstractNumId w:val="22"/>
  </w:num>
  <w:num w:numId="25">
    <w:abstractNumId w:val="8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7E0"/>
    <w:rsid w:val="000917E0"/>
    <w:rsid w:val="000C1836"/>
    <w:rsid w:val="001A2056"/>
    <w:rsid w:val="002F49A1"/>
    <w:rsid w:val="00706772"/>
    <w:rsid w:val="007935B3"/>
    <w:rsid w:val="00863156"/>
    <w:rsid w:val="008F14B5"/>
    <w:rsid w:val="00C1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71D2"/>
  <w15:chartTrackingRefBased/>
  <w15:docId w15:val="{3A3C497F-2B3D-40C3-9AAF-FC77CF179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17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"/>
    <w:qFormat/>
    <w:rsid w:val="000917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uiPriority w:val="9"/>
    <w:qFormat/>
    <w:rsid w:val="000917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0917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7E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0917E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0917E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0917E0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0917E0"/>
    <w:rPr>
      <w:b/>
      <w:bCs/>
    </w:rPr>
  </w:style>
  <w:style w:type="paragraph" w:customStyle="1" w:styleId="ds-markdown-paragraph">
    <w:name w:val="ds-markdown-paragraph"/>
    <w:basedOn w:val="a"/>
    <w:rsid w:val="00091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Emphasis"/>
    <w:basedOn w:val="a0"/>
    <w:uiPriority w:val="20"/>
    <w:qFormat/>
    <w:rsid w:val="000917E0"/>
    <w:rPr>
      <w:i/>
      <w:iCs/>
    </w:rPr>
  </w:style>
  <w:style w:type="paragraph" w:styleId="a5">
    <w:name w:val="List Paragraph"/>
    <w:basedOn w:val="a"/>
    <w:uiPriority w:val="34"/>
    <w:qFormat/>
    <w:rsid w:val="00C11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4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10821</Words>
  <Characters>6168</Characters>
  <Application>Microsoft Office Word</Application>
  <DocSecurity>0</DocSecurity>
  <Lines>51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34</vt:i4>
      </vt:variant>
    </vt:vector>
  </HeadingPairs>
  <TitlesOfParts>
    <vt:vector size="35" baseType="lpstr">
      <vt:lpstr/>
      <vt:lpstr>ЗВІТ</vt:lpstr>
      <vt:lpstr>проректора з науково-педагогічної роботи</vt:lpstr>
      <vt:lpstr>    Заріфа НАЗИРОВА</vt:lpstr>
      <vt:lpstr>    за підсумками 2025 року</vt:lpstr>
      <vt:lpstr>    2. ОРГАНІЗАЦІЯ НАБОРУ ТА НАВЧАННЯ ІНОЗЕМНИХ ГРОМАДЯН</vt:lpstr>
      <vt:lpstr>        2.1. Контингент іноземних студентів</vt:lpstr>
      <vt:lpstr>        2.2. Розподіл за освітніми програмами</vt:lpstr>
      <vt:lpstr>        2.3. Випуск іноземних громадян у 2025 році</vt:lpstr>
      <vt:lpstr>        2.4. Прийом на навчання іноземних громадян у 2025 році</vt:lpstr>
      <vt:lpstr>        2.5. Аналіз результатів набору</vt:lpstr>
      <vt:lpstr>        2.6. Фінансові надходження від навчання іноземців</vt:lpstr>
      <vt:lpstr>        2.7. Навчально-методичне та організаційне забезпечення</vt:lpstr>
      <vt:lpstr>    3. МІЖНАРОДНА ДІЯЛЬНІСТЬ ТА ІНТЕГРАЦІЯ ДО ОСВІТНЬОГО РИНКУ</vt:lpstr>
      <vt:lpstr>        3.1. Виконання ключових показників (KPI)</vt:lpstr>
      <vt:lpstr>        3.2. Кількісні результати міжнародної діяльності</vt:lpstr>
      <vt:lpstr>    4. ДІЯЛЬНІСТЬ ІНСТИТУТУ КОНФУЦІЯ</vt:lpstr>
      <vt:lpstr>        4.1. Основні показники роботи Інституту Конфуція у 2025 році</vt:lpstr>
      <vt:lpstr>        4.2. Освітня діяльність</vt:lpstr>
      <vt:lpstr>        4.3. Екзаменаційна діяльність</vt:lpstr>
      <vt:lpstr>        4.4. Стипендіальні програми та культурні заходи</vt:lpstr>
      <vt:lpstr>        4.5. Комунікаційна діяльність</vt:lpstr>
      <vt:lpstr>    5. РОБОТА З МІЖНАРОДНИМИ РЕЙТИНГАМИ ТА ВІДДІЛ ГЛОБАЛЬНОГО РОЗВИТКУ</vt:lpstr>
      <vt:lpstr>        5.1. Участь у заходах рейтингових агенцій</vt:lpstr>
      <vt:lpstr>        5.2. Робота з рейтингами та даними</vt:lpstr>
      <vt:lpstr>        5.3. Стала освіта та розвиток</vt:lpstr>
      <vt:lpstr>        5.4. Комунікації та опрацювання експертної бази</vt:lpstr>
      <vt:lpstr>    6. РЕЙТИНГОВІ ПОКАЗНИКИ УНІВЕРСИТЕТУ У 2025 РОЦІ</vt:lpstr>
      <vt:lpstr>        6.1. QS Rankings</vt:lpstr>
      <vt:lpstr>        6.2. THE Rankings</vt:lpstr>
      <vt:lpstr>        6.3. Інші міжнародні рейтинги</vt:lpstr>
      <vt:lpstr>    7. ВИКОНАННЯ ІНШИХ ЗАВДАНЬ ТА КОНТРОЛЬ ЗА ПІДРОЗДІЛАМИ</vt:lpstr>
      <vt:lpstr>    8. ВИКЛИКИ</vt:lpstr>
      <vt:lpstr>    9. ПРІОРИТЕТНІ ЗАВДАННЯ НА 2026 РІК</vt:lpstr>
      <vt:lpstr>    10. ВИСНОВКИ</vt:lpstr>
    </vt:vector>
  </TitlesOfParts>
  <Company/>
  <LinksUpToDate>false</LinksUpToDate>
  <CharactersWithSpaces>16956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Іванова</dc:creator>
  <cp:keywords/>
  <dc:description/>
  <cp:lastModifiedBy>Маргарита Іванова</cp:lastModifiedBy>
  <cp:revision>6</cp:revision>
  <cp:lastPrinted>2026-03-20T11:45:00Z</cp:lastPrinted>
  <dcterms:created xsi:type="dcterms:W3CDTF">2026-03-19T11:50:00Z</dcterms:created>
  <dcterms:modified xsi:type="dcterms:W3CDTF">2026-03-20T11:47:00Z</dcterms:modified>
</cp:coreProperties>
</file>